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775673"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CC422E" w:rsidRDefault="00CC422E" w:rsidP="00CC422E">
      <w:pPr>
        <w:jc w:val="both"/>
        <w:rPr>
          <w:rFonts w:ascii="Arial" w:hAnsi="Arial" w:cs="Arial"/>
          <w:sz w:val="20"/>
          <w:szCs w:val="20"/>
        </w:rPr>
      </w:pPr>
      <w:r w:rsidRPr="00523DD6">
        <w:rPr>
          <w:rFonts w:ascii="Arial" w:hAnsi="Arial" w:cs="Arial"/>
          <w:b/>
          <w:sz w:val="20"/>
          <w:szCs w:val="20"/>
          <w:highlight w:val="yellow"/>
        </w:rPr>
        <w:t>1. Introducción:</w:t>
      </w:r>
    </w:p>
    <w:p w:rsidR="00CC422E" w:rsidRDefault="00CC422E" w:rsidP="00CC422E">
      <w:pPr>
        <w:jc w:val="both"/>
        <w:rPr>
          <w:rFonts w:ascii="Arial" w:hAnsi="Arial" w:cs="Arial"/>
          <w:sz w:val="20"/>
          <w:szCs w:val="20"/>
        </w:rPr>
      </w:pPr>
      <w:bookmarkStart w:id="0" w:name="_Hlk511207430"/>
      <w:r>
        <w:rPr>
          <w:rFonts w:ascii="Arial" w:hAnsi="Arial" w:cs="Arial"/>
          <w:sz w:val="20"/>
          <w:szCs w:val="20"/>
        </w:rPr>
        <w:t>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bookmarkEnd w:id="0"/>
      <w:r>
        <w:rPr>
          <w:rFonts w:ascii="Arial" w:hAnsi="Arial" w:cs="Arial"/>
          <w:sz w:val="20"/>
          <w:szCs w:val="20"/>
        </w:rPr>
        <w:t xml:space="preserve">. </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523DD6">
        <w:rPr>
          <w:rFonts w:ascii="Arial" w:hAnsi="Arial" w:cs="Arial"/>
          <w:b/>
          <w:sz w:val="20"/>
          <w:szCs w:val="20"/>
          <w:highlight w:val="yellow"/>
        </w:rPr>
        <w:t>2. Describir el panorama Económico y Financiero:</w:t>
      </w:r>
    </w:p>
    <w:p w:rsidR="00CC422E" w:rsidRDefault="00CC422E" w:rsidP="00CC422E">
      <w:pPr>
        <w:jc w:val="both"/>
        <w:rPr>
          <w:rFonts w:ascii="Arial" w:hAnsi="Arial" w:cs="Arial"/>
          <w:sz w:val="20"/>
          <w:szCs w:val="20"/>
        </w:rPr>
      </w:pPr>
      <w:bookmarkStart w:id="1" w:name="_Hlk511207470"/>
      <w:r>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bookmarkEnd w:id="1"/>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sidRPr="00F74339">
        <w:rPr>
          <w:rFonts w:ascii="Arial" w:hAnsi="Arial" w:cs="Arial"/>
          <w:b/>
          <w:sz w:val="20"/>
          <w:szCs w:val="20"/>
          <w:highlight w:val="yellow"/>
        </w:rPr>
        <w:t>3. Autorización e Historia:</w:t>
      </w:r>
    </w:p>
    <w:p w:rsidR="00CC422E" w:rsidRPr="0030393A" w:rsidRDefault="00CC422E" w:rsidP="00CC422E">
      <w:pPr>
        <w:jc w:val="both"/>
        <w:rPr>
          <w:rFonts w:ascii="Arial" w:hAnsi="Arial" w:cs="Arial"/>
          <w:sz w:val="20"/>
          <w:szCs w:val="20"/>
        </w:rPr>
      </w:pPr>
      <w:r w:rsidRPr="00F74339">
        <w:rPr>
          <w:rFonts w:ascii="Arial" w:hAnsi="Arial" w:cs="Arial"/>
          <w:sz w:val="20"/>
          <w:szCs w:val="20"/>
          <w:highlight w:val="yellow"/>
        </w:rPr>
        <w:t>a) Fecha de creación del ente.</w:t>
      </w:r>
    </w:p>
    <w:p w:rsidR="00CC422E" w:rsidRDefault="00CC422E" w:rsidP="00CC422E">
      <w:pPr>
        <w:jc w:val="both"/>
        <w:rPr>
          <w:rFonts w:ascii="Arial" w:hAnsi="Arial" w:cs="Arial"/>
          <w:sz w:val="20"/>
          <w:szCs w:val="20"/>
        </w:rPr>
      </w:pPr>
      <w:r>
        <w:rPr>
          <w:rFonts w:ascii="Arial" w:hAnsi="Arial" w:cs="Arial"/>
          <w:sz w:val="20"/>
          <w:szCs w:val="20"/>
        </w:rPr>
        <w:t>14 de Febrero de 1989 según Diario Oficial Del Gobierno Del Estado de Guanajuato.</w:t>
      </w:r>
    </w:p>
    <w:p w:rsidR="00CC422E"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Pr>
          <w:rFonts w:ascii="Arial" w:hAnsi="Arial" w:cs="Arial"/>
          <w:sz w:val="20"/>
          <w:szCs w:val="20"/>
        </w:rPr>
        <w:t xml:space="preserve"> </w:t>
      </w:r>
      <w:r w:rsidRPr="00F74339">
        <w:rPr>
          <w:rFonts w:ascii="Arial" w:hAnsi="Arial" w:cs="Arial"/>
          <w:sz w:val="20"/>
          <w:szCs w:val="20"/>
          <w:highlight w:val="yellow"/>
        </w:rPr>
        <w:t>b) Principales cambios en su estructura (interna históricamente)</w:t>
      </w:r>
    </w:p>
    <w:p w:rsidR="00CC422E" w:rsidRDefault="00CC422E" w:rsidP="00CC422E">
      <w:pPr>
        <w:jc w:val="both"/>
        <w:rPr>
          <w:rFonts w:ascii="Arial" w:hAnsi="Arial" w:cs="Arial"/>
          <w:sz w:val="20"/>
          <w:szCs w:val="20"/>
        </w:rPr>
      </w:pPr>
      <w:r>
        <w:rPr>
          <w:rFonts w:ascii="Arial" w:hAnsi="Arial" w:cs="Arial"/>
          <w:sz w:val="20"/>
          <w:szCs w:val="20"/>
        </w:rPr>
        <w:t>Esta Institución se ha preocupado siempre estar a la vanguardia en cuanto equipo, instalaciones y personal altamente capacitado  para ofrecer un mejor servicio y garantizar la seguridad de la ciudadanía.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F74339">
        <w:rPr>
          <w:rFonts w:ascii="Arial" w:hAnsi="Arial" w:cs="Arial"/>
          <w:b/>
          <w:sz w:val="20"/>
          <w:szCs w:val="20"/>
          <w:highlight w:val="yellow"/>
        </w:rPr>
        <w:t>4. Organización y Objeto Social:</w:t>
      </w:r>
    </w:p>
    <w:p w:rsidR="00CC422E" w:rsidRPr="0030393A" w:rsidRDefault="00CC422E" w:rsidP="00CC422E">
      <w:pPr>
        <w:jc w:val="both"/>
        <w:rPr>
          <w:rFonts w:ascii="Arial" w:hAnsi="Arial" w:cs="Arial"/>
          <w:sz w:val="20"/>
          <w:szCs w:val="20"/>
        </w:rPr>
      </w:pPr>
      <w:r w:rsidRPr="00F74339">
        <w:rPr>
          <w:rFonts w:ascii="Arial" w:hAnsi="Arial" w:cs="Arial"/>
          <w:sz w:val="20"/>
          <w:szCs w:val="20"/>
          <w:highlight w:val="yellow"/>
        </w:rPr>
        <w:t>a) Objeto social</w:t>
      </w:r>
    </w:p>
    <w:p w:rsidR="00CC422E" w:rsidRDefault="00CC422E" w:rsidP="00CC422E">
      <w:pPr>
        <w:jc w:val="both"/>
        <w:rPr>
          <w:rFonts w:ascii="Times New Roman" w:eastAsia="Times New Roman" w:hAnsi="Times New Roman"/>
          <w:bCs/>
          <w:sz w:val="20"/>
          <w:szCs w:val="20"/>
          <w:lang w:eastAsia="es-MX"/>
        </w:rPr>
      </w:pPr>
      <w:r>
        <w:rPr>
          <w:rFonts w:ascii="Arial" w:hAnsi="Arial" w:cs="Arial"/>
          <w:sz w:val="20"/>
          <w:szCs w:val="20"/>
        </w:rPr>
        <w:t>Combate de Fenómenos naturales y perturbadores.</w:t>
      </w:r>
    </w:p>
    <w:p w:rsidR="00CC422E" w:rsidRPr="00E924FF" w:rsidRDefault="00CC422E" w:rsidP="00CC422E">
      <w:pPr>
        <w:jc w:val="both"/>
        <w:rPr>
          <w:rFonts w:ascii="Times New Roman" w:eastAsia="Times New Roman" w:hAnsi="Times New Roman"/>
          <w:bCs/>
          <w:sz w:val="20"/>
          <w:szCs w:val="20"/>
          <w:lang w:eastAsia="es-MX"/>
        </w:rPr>
      </w:pPr>
    </w:p>
    <w:p w:rsidR="00CC422E" w:rsidRDefault="00CC422E" w:rsidP="00CC422E">
      <w:pPr>
        <w:jc w:val="both"/>
        <w:rPr>
          <w:rFonts w:ascii="Arial" w:hAnsi="Arial" w:cs="Arial"/>
          <w:sz w:val="20"/>
          <w:szCs w:val="20"/>
        </w:rPr>
      </w:pPr>
      <w:r w:rsidRPr="00F74339">
        <w:rPr>
          <w:rFonts w:ascii="Arial" w:hAnsi="Arial" w:cs="Arial"/>
          <w:sz w:val="20"/>
          <w:szCs w:val="20"/>
          <w:highlight w:val="yellow"/>
        </w:rPr>
        <w:t>b) Principal actividad.</w:t>
      </w:r>
    </w:p>
    <w:p w:rsidR="00CC422E" w:rsidRDefault="00CC422E" w:rsidP="00CC422E">
      <w:pPr>
        <w:jc w:val="both"/>
        <w:rPr>
          <w:rFonts w:ascii="Arial" w:hAnsi="Arial" w:cs="Arial"/>
          <w:sz w:val="20"/>
          <w:szCs w:val="20"/>
        </w:rPr>
      </w:pPr>
      <w:r>
        <w:rPr>
          <w:rFonts w:ascii="Arial" w:hAnsi="Arial" w:cs="Arial"/>
          <w:sz w:val="20"/>
          <w:szCs w:val="20"/>
        </w:rPr>
        <w:t>Actividades Asistenciales</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F74339">
        <w:rPr>
          <w:rFonts w:ascii="Arial" w:hAnsi="Arial" w:cs="Arial"/>
          <w:sz w:val="20"/>
          <w:szCs w:val="20"/>
          <w:highlight w:val="yellow"/>
        </w:rPr>
        <w:t>c) Ejercicio fiscal.</w:t>
      </w:r>
    </w:p>
    <w:p w:rsidR="00CC422E" w:rsidRDefault="000D35D3" w:rsidP="00CC422E">
      <w:pPr>
        <w:jc w:val="both"/>
        <w:rPr>
          <w:rFonts w:ascii="Arial" w:hAnsi="Arial" w:cs="Arial"/>
          <w:sz w:val="20"/>
          <w:szCs w:val="20"/>
        </w:rPr>
      </w:pPr>
      <w:r>
        <w:rPr>
          <w:rFonts w:ascii="Arial" w:hAnsi="Arial" w:cs="Arial"/>
          <w:sz w:val="20"/>
          <w:szCs w:val="20"/>
        </w:rPr>
        <w:lastRenderedPageBreak/>
        <w:t>01 de Enero de 2017</w:t>
      </w:r>
      <w:r w:rsidR="00CC422E">
        <w:rPr>
          <w:rFonts w:ascii="Arial" w:hAnsi="Arial" w:cs="Arial"/>
          <w:sz w:val="20"/>
          <w:szCs w:val="20"/>
        </w:rPr>
        <w:t xml:space="preserve"> al 31 de Diciembre de 201</w:t>
      </w:r>
      <w:r>
        <w:rPr>
          <w:rFonts w:ascii="Arial" w:hAnsi="Arial" w:cs="Arial"/>
          <w:sz w:val="20"/>
          <w:szCs w:val="20"/>
        </w:rPr>
        <w:t>7</w:t>
      </w:r>
      <w:r w:rsidR="00CC422E">
        <w:rPr>
          <w:rFonts w:ascii="Arial" w:hAnsi="Arial" w:cs="Arial"/>
          <w:sz w:val="20"/>
          <w:szCs w:val="20"/>
        </w:rPr>
        <w:t>.</w:t>
      </w:r>
    </w:p>
    <w:p w:rsidR="00CC422E" w:rsidRDefault="00CC422E" w:rsidP="00CC422E">
      <w:pPr>
        <w:jc w:val="both"/>
        <w:rPr>
          <w:rFonts w:ascii="Arial" w:hAnsi="Arial" w:cs="Arial"/>
          <w:sz w:val="20"/>
          <w:szCs w:val="20"/>
        </w:rPr>
      </w:pPr>
      <w:r w:rsidRPr="004007FF">
        <w:rPr>
          <w:rFonts w:ascii="Arial" w:hAnsi="Arial" w:cs="Arial"/>
          <w:sz w:val="20"/>
          <w:szCs w:val="20"/>
          <w:highlight w:val="yellow"/>
        </w:rPr>
        <w:t>d) Régimen jurídico.</w:t>
      </w:r>
    </w:p>
    <w:p w:rsidR="00CC422E" w:rsidRDefault="00CC422E" w:rsidP="00CC422E">
      <w:pPr>
        <w:jc w:val="both"/>
        <w:rPr>
          <w:rFonts w:ascii="Arial" w:hAnsi="Arial" w:cs="Arial"/>
          <w:sz w:val="20"/>
          <w:szCs w:val="20"/>
        </w:rPr>
      </w:pPr>
      <w:bookmarkStart w:id="2" w:name="_Hlk511210689"/>
      <w:r>
        <w:rPr>
          <w:rFonts w:ascii="Arial" w:hAnsi="Arial" w:cs="Arial"/>
          <w:sz w:val="20"/>
          <w:szCs w:val="20"/>
        </w:rPr>
        <w:t>Personas Morales con Fines no Lucrativos</w:t>
      </w:r>
    </w:p>
    <w:bookmarkEnd w:id="2"/>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C422E" w:rsidRPr="00F92648" w:rsidTr="00F3340E">
        <w:trPr>
          <w:gridAfter w:val="1"/>
          <w:tblHeader/>
          <w:tblCellSpacing w:w="15" w:type="dxa"/>
          <w:jc w:val="center"/>
        </w:trPr>
        <w:tc>
          <w:tcPr>
            <w:tcW w:w="0" w:type="auto"/>
            <w:vAlign w:val="center"/>
            <w:hideMark/>
          </w:tcPr>
          <w:p w:rsidR="00CC422E" w:rsidRPr="00F92648" w:rsidRDefault="00CC422E" w:rsidP="00F3340E">
            <w:pPr>
              <w:spacing w:after="0" w:line="240" w:lineRule="auto"/>
              <w:jc w:val="center"/>
              <w:rPr>
                <w:rFonts w:ascii="Times New Roman" w:eastAsia="Times New Roman" w:hAnsi="Times New Roman"/>
                <w:b/>
                <w:bCs/>
                <w:sz w:val="24"/>
                <w:szCs w:val="24"/>
                <w:lang w:eastAsia="es-MX"/>
              </w:rPr>
            </w:pPr>
          </w:p>
        </w:tc>
      </w:tr>
      <w:tr w:rsidR="00CC422E" w:rsidRPr="00F92648" w:rsidTr="00F3340E">
        <w:trPr>
          <w:tblCellSpacing w:w="15" w:type="dxa"/>
          <w:jc w:val="center"/>
        </w:trPr>
        <w:tc>
          <w:tcPr>
            <w:tcW w:w="0" w:type="auto"/>
            <w:vAlign w:val="center"/>
          </w:tcPr>
          <w:p w:rsidR="00CC422E" w:rsidRPr="00F92648" w:rsidRDefault="00CC422E" w:rsidP="00F3340E">
            <w:pPr>
              <w:spacing w:after="0" w:line="240" w:lineRule="auto"/>
              <w:rPr>
                <w:rFonts w:ascii="Times New Roman" w:eastAsia="Times New Roman" w:hAnsi="Times New Roman"/>
                <w:sz w:val="24"/>
                <w:szCs w:val="24"/>
                <w:lang w:eastAsia="es-MX"/>
              </w:rPr>
            </w:pPr>
          </w:p>
        </w:tc>
        <w:tc>
          <w:tcPr>
            <w:tcW w:w="0" w:type="auto"/>
            <w:vAlign w:val="center"/>
          </w:tcPr>
          <w:p w:rsidR="00CC422E" w:rsidRPr="00F92648" w:rsidRDefault="00CC422E" w:rsidP="00F3340E">
            <w:pPr>
              <w:spacing w:after="0" w:line="240" w:lineRule="auto"/>
              <w:rPr>
                <w:rFonts w:ascii="Times New Roman" w:eastAsia="Times New Roman" w:hAnsi="Times New Roman"/>
                <w:sz w:val="20"/>
                <w:szCs w:val="20"/>
                <w:lang w:eastAsia="es-MX"/>
              </w:rPr>
            </w:pPr>
          </w:p>
        </w:tc>
      </w:tr>
    </w:tbl>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e) Consideraciones fiscales del ente:</w:t>
      </w:r>
    </w:p>
    <w:p w:rsidR="00CC422E" w:rsidRDefault="00CC422E" w:rsidP="00CC422E">
      <w:pPr>
        <w:spacing w:after="0" w:line="240" w:lineRule="auto"/>
        <w:jc w:val="both"/>
        <w:rPr>
          <w:rFonts w:ascii="Times New Roman" w:eastAsia="Times New Roman" w:hAnsi="Times New Roman"/>
          <w:sz w:val="20"/>
          <w:szCs w:val="20"/>
          <w:lang w:eastAsia="es-MX"/>
        </w:rPr>
      </w:pPr>
      <w:bookmarkStart w:id="3" w:name="_Hlk511210708"/>
      <w:r>
        <w:rPr>
          <w:rFonts w:ascii="Times New Roman" w:eastAsia="Times New Roman" w:hAnsi="Times New Roman"/>
          <w:sz w:val="20"/>
          <w:szCs w:val="20"/>
          <w:lang w:eastAsia="es-MX"/>
        </w:rPr>
        <w:t>No es  acreedor del ISR y IETU</w:t>
      </w:r>
    </w:p>
    <w:bookmarkEnd w:id="3"/>
    <w:p w:rsidR="00CC422E" w:rsidRDefault="00CC422E" w:rsidP="00CC422E">
      <w:pPr>
        <w:spacing w:after="0" w:line="240" w:lineRule="auto"/>
        <w:jc w:val="both"/>
        <w:rPr>
          <w:rFonts w:ascii="Times New Roman" w:eastAsia="Times New Roman" w:hAnsi="Times New Roman"/>
          <w:sz w:val="20"/>
          <w:szCs w:val="20"/>
          <w:lang w:eastAsia="es-MX"/>
        </w:rPr>
      </w:pPr>
    </w:p>
    <w:p w:rsidR="00CC422E" w:rsidRPr="00E924FF" w:rsidRDefault="00CC422E" w:rsidP="00CC422E">
      <w:pPr>
        <w:spacing w:after="0" w:line="240" w:lineRule="auto"/>
        <w:jc w:val="both"/>
        <w:rPr>
          <w:rFonts w:ascii="Times New Roman" w:eastAsia="Times New Roman" w:hAnsi="Times New Roman"/>
          <w:sz w:val="20"/>
          <w:szCs w:val="20"/>
          <w:lang w:eastAsia="es-MX"/>
        </w:rPr>
      </w:pPr>
    </w:p>
    <w:p w:rsidR="00CC422E" w:rsidRDefault="00CC422E" w:rsidP="00CC422E">
      <w:pPr>
        <w:jc w:val="both"/>
        <w:rPr>
          <w:rFonts w:ascii="Arial" w:hAnsi="Arial" w:cs="Arial"/>
          <w:sz w:val="20"/>
          <w:szCs w:val="20"/>
        </w:rPr>
      </w:pPr>
      <w:r w:rsidRPr="0090761C">
        <w:rPr>
          <w:rFonts w:ascii="Arial" w:hAnsi="Arial" w:cs="Arial"/>
          <w:sz w:val="20"/>
          <w:szCs w:val="20"/>
        </w:rPr>
        <w:t>f) Estructura organizacional básica</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noProof/>
          <w:sz w:val="20"/>
          <w:szCs w:val="20"/>
          <w:lang w:eastAsia="es-MX"/>
        </w:rPr>
        <w:drawing>
          <wp:inline distT="0" distB="0" distL="0" distR="0" wp14:anchorId="7E315AAE" wp14:editId="4670CD21">
            <wp:extent cx="5906770" cy="4530725"/>
            <wp:effectExtent l="0" t="0" r="0" b="3175"/>
            <wp:docPr id="1" name="Imagen 1" descr="ORGANIGRAMA 0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A 0112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6770" cy="4530725"/>
                    </a:xfrm>
                    <a:prstGeom prst="rect">
                      <a:avLst/>
                    </a:prstGeom>
                    <a:noFill/>
                    <a:ln>
                      <a:noFill/>
                    </a:ln>
                  </pic:spPr>
                </pic:pic>
              </a:graphicData>
            </a:graphic>
          </wp:inline>
        </w:drawing>
      </w:r>
    </w:p>
    <w:p w:rsidR="00CC422E"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g) Fideicomisos, mandatos y análogos de los cuales es fideicomitente o fiduciario.</w:t>
      </w:r>
    </w:p>
    <w:p w:rsidR="00CC422E" w:rsidRDefault="00CC422E" w:rsidP="00CC422E">
      <w:pPr>
        <w:jc w:val="both"/>
        <w:rPr>
          <w:rFonts w:ascii="Arial" w:hAnsi="Arial" w:cs="Arial"/>
          <w:sz w:val="20"/>
          <w:szCs w:val="20"/>
        </w:rPr>
      </w:pPr>
      <w:bookmarkStart w:id="4" w:name="_Hlk511210819"/>
      <w:r>
        <w:rPr>
          <w:rFonts w:ascii="Arial" w:hAnsi="Arial" w:cs="Arial"/>
          <w:sz w:val="20"/>
          <w:szCs w:val="20"/>
        </w:rPr>
        <w:t>No aplica</w:t>
      </w:r>
    </w:p>
    <w:bookmarkEnd w:id="4"/>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4007FF">
        <w:rPr>
          <w:rFonts w:ascii="Arial" w:hAnsi="Arial" w:cs="Arial"/>
          <w:b/>
          <w:sz w:val="20"/>
          <w:szCs w:val="20"/>
          <w:highlight w:val="yellow"/>
        </w:rPr>
        <w:lastRenderedPageBreak/>
        <w:t>5. Bases de Preparación de los Estados Financieros:</w:t>
      </w:r>
    </w:p>
    <w:p w:rsidR="00CC422E" w:rsidRDefault="00CC422E" w:rsidP="00CC422E">
      <w:pPr>
        <w:jc w:val="both"/>
        <w:rPr>
          <w:rFonts w:ascii="Arial" w:hAnsi="Arial" w:cs="Arial"/>
          <w:sz w:val="20"/>
          <w:szCs w:val="20"/>
        </w:rPr>
      </w:pPr>
      <w:r w:rsidRPr="004007FF">
        <w:rPr>
          <w:rFonts w:ascii="Arial" w:hAnsi="Arial" w:cs="Arial"/>
          <w:sz w:val="20"/>
          <w:szCs w:val="20"/>
          <w:highlight w:val="yellow"/>
        </w:rPr>
        <w:t>a) Si se ha observado la normatividad emitida por el CONAC y las disposiciones legales aplicables.</w:t>
      </w:r>
    </w:p>
    <w:p w:rsidR="00CC422E" w:rsidRDefault="00CC422E" w:rsidP="00CC422E">
      <w:pPr>
        <w:jc w:val="both"/>
        <w:rPr>
          <w:rFonts w:ascii="Arial" w:hAnsi="Arial" w:cs="Arial"/>
          <w:sz w:val="20"/>
          <w:szCs w:val="20"/>
        </w:rPr>
      </w:pPr>
      <w:bookmarkStart w:id="5" w:name="_Hlk511210868"/>
      <w:r>
        <w:rPr>
          <w:rFonts w:ascii="Arial" w:hAnsi="Arial" w:cs="Arial"/>
          <w:sz w:val="20"/>
          <w:szCs w:val="20"/>
        </w:rPr>
        <w:t>Se tiene un avance del 80% en los Lineamientos de Contabilidad Gubernamental.</w:t>
      </w:r>
    </w:p>
    <w:bookmarkEnd w:id="5"/>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4007FF">
        <w:rPr>
          <w:rFonts w:ascii="Arial" w:hAnsi="Arial" w:cs="Arial"/>
          <w:sz w:val="20"/>
          <w:szCs w:val="20"/>
          <w:highlight w:val="yellow"/>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C422E" w:rsidRDefault="00CC422E" w:rsidP="00CC422E">
      <w:pPr>
        <w:jc w:val="both"/>
        <w:rPr>
          <w:rFonts w:ascii="Arial" w:hAnsi="Arial" w:cs="Arial"/>
          <w:sz w:val="20"/>
          <w:szCs w:val="20"/>
        </w:rPr>
      </w:pPr>
      <w:bookmarkStart w:id="6" w:name="_Hlk511210910"/>
      <w:r>
        <w:rPr>
          <w:rFonts w:ascii="Arial" w:hAnsi="Arial" w:cs="Arial"/>
          <w:sz w:val="20"/>
          <w:szCs w:val="20"/>
        </w:rPr>
        <w:t>Se tiene un avance del 80% en los Lineamientos de Contabilidad Gubernamental</w:t>
      </w:r>
    </w:p>
    <w:bookmarkEnd w:id="6"/>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c) Postulados básicos.</w:t>
      </w:r>
    </w:p>
    <w:p w:rsidR="00CC422E" w:rsidRDefault="00CC422E" w:rsidP="00CC422E">
      <w:pPr>
        <w:jc w:val="both"/>
        <w:rPr>
          <w:rFonts w:ascii="Arial" w:hAnsi="Arial" w:cs="Arial"/>
          <w:sz w:val="20"/>
          <w:szCs w:val="20"/>
        </w:rPr>
      </w:pPr>
      <w:bookmarkStart w:id="7" w:name="_Hlk511210947"/>
      <w:r>
        <w:rPr>
          <w:rFonts w:ascii="Arial" w:hAnsi="Arial" w:cs="Arial"/>
          <w:sz w:val="20"/>
          <w:szCs w:val="20"/>
        </w:rPr>
        <w:t xml:space="preserve">Se tiene un avance del 80% en los Lineamientos de Contabilidad Gubernamental </w:t>
      </w:r>
    </w:p>
    <w:bookmarkEnd w:id="7"/>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Pr>
          <w:rFonts w:ascii="Arial" w:hAnsi="Arial" w:cs="Arial"/>
          <w:sz w:val="20"/>
          <w:szCs w:val="20"/>
        </w:rPr>
        <w:t>d</w:t>
      </w:r>
      <w:r w:rsidRPr="004007FF">
        <w:rPr>
          <w:rFonts w:ascii="Arial" w:hAnsi="Arial" w:cs="Arial"/>
          <w:sz w:val="20"/>
          <w:szCs w:val="20"/>
          <w:highlight w:val="yellow"/>
        </w:rPr>
        <w:t>) Normatividad supletoria.</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r w:rsidRPr="0090761C">
        <w:rPr>
          <w:rFonts w:ascii="Arial" w:hAnsi="Arial" w:cs="Arial"/>
          <w:sz w:val="20"/>
          <w:szCs w:val="20"/>
        </w:rPr>
        <w:t xml:space="preserve">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e) Para las entidades que por primera vez estén implementando la base devengado de acuerdo a la Ley de Contabilidad, deberán:</w:t>
      </w:r>
    </w:p>
    <w:p w:rsidR="00CC422E" w:rsidRDefault="00CC422E" w:rsidP="00CC422E">
      <w:pPr>
        <w:jc w:val="both"/>
        <w:rPr>
          <w:rFonts w:ascii="Arial" w:hAnsi="Arial" w:cs="Arial"/>
          <w:b/>
          <w:sz w:val="20"/>
          <w:szCs w:val="20"/>
        </w:rPr>
      </w:pPr>
      <w:r w:rsidRPr="0090761C">
        <w:rPr>
          <w:rFonts w:cs="Arial"/>
          <w:sz w:val="20"/>
          <w:szCs w:val="20"/>
        </w:rPr>
        <w:t>‐</w:t>
      </w:r>
      <w:r w:rsidRPr="00651678">
        <w:rPr>
          <w:rFonts w:ascii="Arial" w:hAnsi="Arial" w:cs="Arial"/>
          <w:sz w:val="20"/>
          <w:szCs w:val="20"/>
        </w:rPr>
        <w:t xml:space="preserve"> </w:t>
      </w:r>
      <w:r>
        <w:rPr>
          <w:rFonts w:ascii="Arial" w:hAnsi="Arial" w:cs="Arial"/>
          <w:sz w:val="20"/>
          <w:szCs w:val="20"/>
        </w:rPr>
        <w:t>Se tiene un avance del 80% en los Lineamientos de Contabilidad Gubernamental</w:t>
      </w:r>
      <w:r w:rsidRPr="0090761C">
        <w:rPr>
          <w:rFonts w:ascii="Arial" w:hAnsi="Arial" w:cs="Arial"/>
          <w:b/>
          <w:sz w:val="20"/>
          <w:szCs w:val="20"/>
        </w:rPr>
        <w:t xml:space="preserve"> </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sidRPr="004007FF">
        <w:rPr>
          <w:rFonts w:ascii="Arial" w:hAnsi="Arial" w:cs="Arial"/>
          <w:b/>
          <w:sz w:val="20"/>
          <w:szCs w:val="20"/>
          <w:highlight w:val="yellow"/>
        </w:rPr>
        <w:t>6. Políticas de Contabilidad Significativas:</w:t>
      </w: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a) Actualización:</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r w:rsidRPr="0090761C">
        <w:rPr>
          <w:rFonts w:ascii="Arial" w:hAnsi="Arial" w:cs="Arial"/>
          <w:sz w:val="20"/>
          <w:szCs w:val="20"/>
        </w:rPr>
        <w:t xml:space="preserve">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Informar sobre la realización de operaciones en el extranjero y de sus efectos en la información financiera gubernamental:</w:t>
      </w:r>
    </w:p>
    <w:p w:rsidR="00CC422E" w:rsidRDefault="00CC422E" w:rsidP="00CC422E">
      <w:pPr>
        <w:jc w:val="both"/>
        <w:rPr>
          <w:rFonts w:ascii="Arial" w:hAnsi="Arial" w:cs="Arial"/>
          <w:sz w:val="20"/>
          <w:szCs w:val="20"/>
        </w:rPr>
      </w:pPr>
      <w:bookmarkStart w:id="8" w:name="_Hlk511211103"/>
      <w:r>
        <w:rPr>
          <w:rFonts w:ascii="Arial" w:hAnsi="Arial" w:cs="Arial"/>
          <w:sz w:val="20"/>
          <w:szCs w:val="20"/>
        </w:rPr>
        <w:t>No aplica</w:t>
      </w:r>
    </w:p>
    <w:bookmarkEnd w:id="8"/>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Método de valuación de la inversión en acciones de Compañías subsidiarias no consolidadas y asociadas: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lastRenderedPageBreak/>
        <w:t>d) Sistema y método de valuación de inventarios y costo de lo vendido: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e) Beneficios a empleados: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f) Provisiones: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g) Reservas: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h) Cambios en políticas contables y corrección de errores junto con la revelación de los efectos que se tendrá en la información financiera del ente público, ya sea retrospectivos o prospectivos: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4007FF" w:rsidRDefault="00CC422E" w:rsidP="00CC422E">
      <w:pPr>
        <w:jc w:val="both"/>
        <w:rPr>
          <w:rFonts w:ascii="Arial" w:hAnsi="Arial" w:cs="Arial"/>
          <w:sz w:val="20"/>
          <w:szCs w:val="20"/>
        </w:rPr>
      </w:pPr>
      <w:r w:rsidRPr="004007FF">
        <w:rPr>
          <w:rFonts w:ascii="Arial" w:hAnsi="Arial" w:cs="Arial"/>
          <w:sz w:val="20"/>
          <w:szCs w:val="20"/>
          <w:highlight w:val="yellow"/>
        </w:rPr>
        <w:t>i) Reclasificaciones: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j) Depuración y cancelación de saldos: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4007FF">
        <w:rPr>
          <w:rFonts w:ascii="Arial" w:hAnsi="Arial" w:cs="Arial"/>
          <w:b/>
          <w:sz w:val="20"/>
          <w:szCs w:val="20"/>
          <w:highlight w:val="yellow"/>
        </w:rPr>
        <w:t>7. Posición en Moneda Extranjera y Protección por Riesgo Cambiario:</w:t>
      </w: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a) Activos en moneda extranjera:</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b) Pasivos en moneda extranjera:</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c) Posición en moneda extranjera:</w:t>
      </w:r>
    </w:p>
    <w:p w:rsidR="00CC422E" w:rsidRDefault="00CC422E" w:rsidP="00CC422E">
      <w:pPr>
        <w:jc w:val="both"/>
        <w:rPr>
          <w:rFonts w:ascii="Arial" w:hAnsi="Arial" w:cs="Arial"/>
          <w:sz w:val="20"/>
          <w:szCs w:val="20"/>
        </w:rPr>
      </w:pPr>
      <w:r>
        <w:rPr>
          <w:rFonts w:ascii="Arial" w:hAnsi="Arial" w:cs="Arial"/>
          <w:sz w:val="20"/>
          <w:szCs w:val="20"/>
        </w:rPr>
        <w:lastRenderedPageBreak/>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d) Tipo de cambio: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e) Equivalente en moneda nacional:</w:t>
      </w:r>
    </w:p>
    <w:p w:rsidR="00CC422E" w:rsidRDefault="00CC422E" w:rsidP="00CC422E">
      <w:pPr>
        <w:jc w:val="both"/>
        <w:rPr>
          <w:rFonts w:ascii="Arial" w:hAnsi="Arial" w:cs="Arial"/>
          <w:sz w:val="20"/>
          <w:szCs w:val="20"/>
        </w:rPr>
      </w:pPr>
      <w:r>
        <w:rPr>
          <w:rFonts w:ascii="Arial" w:hAnsi="Arial" w:cs="Arial"/>
          <w:sz w:val="20"/>
          <w:szCs w:val="20"/>
        </w:rPr>
        <w:t>No aplica</w:t>
      </w:r>
    </w:p>
    <w:p w:rsidR="004007FF" w:rsidRPr="004007FF" w:rsidRDefault="00CC422E" w:rsidP="00CC422E">
      <w:pPr>
        <w:jc w:val="both"/>
        <w:rPr>
          <w:rFonts w:ascii="Arial" w:hAnsi="Arial" w:cs="Arial"/>
          <w:sz w:val="20"/>
          <w:szCs w:val="20"/>
          <w:highlight w:val="yellow"/>
        </w:rPr>
      </w:pPr>
      <w:r w:rsidRPr="004007FF">
        <w:rPr>
          <w:rFonts w:ascii="Arial" w:hAnsi="Arial" w:cs="Arial"/>
          <w:sz w:val="20"/>
          <w:szCs w:val="20"/>
          <w:highlight w:val="yellow"/>
        </w:rPr>
        <w:t>Lo anterior por cada tipo de moneda extranjera que se encuentre en los rubros de activo y pasivo.</w:t>
      </w:r>
    </w:p>
    <w:p w:rsidR="00CC422E" w:rsidRDefault="00CC422E" w:rsidP="00CC422E">
      <w:pPr>
        <w:jc w:val="both"/>
        <w:rPr>
          <w:rFonts w:ascii="Arial" w:hAnsi="Arial" w:cs="Arial"/>
          <w:sz w:val="20"/>
          <w:szCs w:val="20"/>
        </w:rPr>
      </w:pPr>
      <w:r w:rsidRPr="004007FF">
        <w:rPr>
          <w:rFonts w:ascii="Arial" w:hAnsi="Arial" w:cs="Arial"/>
          <w:sz w:val="20"/>
          <w:szCs w:val="20"/>
          <w:highlight w:val="yellow"/>
        </w:rPr>
        <w:t>Adicionalmente se informará sobre los métodos de protección de riesgo por variaciones en el tipo de cambio.</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4007FF">
        <w:rPr>
          <w:rFonts w:ascii="Arial" w:hAnsi="Arial" w:cs="Arial"/>
          <w:b/>
          <w:sz w:val="20"/>
          <w:szCs w:val="20"/>
          <w:highlight w:val="yellow"/>
        </w:rPr>
        <w:t>8. Reporte Analítico del Activo:</w:t>
      </w: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a) Vida útil o porcentajes de depreciación, deterioro o amortización utilizados en los diferentes tipos de activos:</w:t>
      </w:r>
    </w:p>
    <w:p w:rsidR="00CC422E" w:rsidRDefault="00CC422E" w:rsidP="00CC422E">
      <w:pPr>
        <w:jc w:val="both"/>
        <w:rPr>
          <w:rFonts w:ascii="Arial" w:hAnsi="Arial" w:cs="Arial"/>
          <w:sz w:val="20"/>
          <w:szCs w:val="20"/>
        </w:rPr>
      </w:pPr>
      <w:bookmarkStart w:id="9" w:name="_Hlk511211437"/>
      <w:r>
        <w:rPr>
          <w:rFonts w:ascii="Arial" w:hAnsi="Arial" w:cs="Arial"/>
          <w:sz w:val="20"/>
          <w:szCs w:val="20"/>
        </w:rPr>
        <w:t>En proceso de aplicar</w:t>
      </w:r>
    </w:p>
    <w:bookmarkEnd w:id="9"/>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b) Cambios en el porcentaje de depreciación o valor residual de los activos:</w:t>
      </w:r>
    </w:p>
    <w:p w:rsidR="00CC422E" w:rsidRDefault="00CC422E" w:rsidP="00CC422E">
      <w:pPr>
        <w:jc w:val="both"/>
        <w:rPr>
          <w:rFonts w:ascii="Arial" w:hAnsi="Arial" w:cs="Arial"/>
          <w:sz w:val="20"/>
          <w:szCs w:val="20"/>
        </w:rPr>
      </w:pPr>
      <w:bookmarkStart w:id="10" w:name="_Hlk511211480"/>
      <w:r>
        <w:rPr>
          <w:rFonts w:ascii="Arial" w:hAnsi="Arial" w:cs="Arial"/>
          <w:sz w:val="20"/>
          <w:szCs w:val="20"/>
        </w:rPr>
        <w:t>En proceso de aplicar</w:t>
      </w:r>
    </w:p>
    <w:bookmarkEnd w:id="10"/>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c) Importe de los gastos capitalizados en el ejercicio, tanto financieros como de investigación y desarrollo:</w:t>
      </w:r>
    </w:p>
    <w:p w:rsidR="00CC422E" w:rsidRDefault="00CC422E" w:rsidP="00CC422E">
      <w:pPr>
        <w:jc w:val="both"/>
        <w:rPr>
          <w:rFonts w:ascii="Arial" w:hAnsi="Arial" w:cs="Arial"/>
          <w:sz w:val="20"/>
          <w:szCs w:val="20"/>
        </w:rPr>
      </w:pPr>
      <w:bookmarkStart w:id="11" w:name="_Hlk511211497"/>
      <w:r>
        <w:rPr>
          <w:rFonts w:ascii="Arial" w:hAnsi="Arial" w:cs="Arial"/>
          <w:sz w:val="20"/>
          <w:szCs w:val="20"/>
        </w:rPr>
        <w:t>No aplica</w:t>
      </w:r>
    </w:p>
    <w:bookmarkEnd w:id="11"/>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d) Riegos por tipo de cambio o tipo de interés de las inversiones financieras: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e) Valor activado en el ejercicio de los bienes construidos por la entidad:</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f) Otras circunstancias de carácter significativo que afecten el activo, tales como bienes en garantía, señalados en embargos, litigios, títulos de inversiones entregados en garantías, baja significativa del valor de inversiones financieras, etc.:</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t>g) Desmantelamiento de Activos, procedimientos, implicaciones, efectos contables: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4007FF">
        <w:rPr>
          <w:rFonts w:ascii="Arial" w:hAnsi="Arial" w:cs="Arial"/>
          <w:sz w:val="20"/>
          <w:szCs w:val="20"/>
          <w:highlight w:val="yellow"/>
        </w:rPr>
        <w:lastRenderedPageBreak/>
        <w:t>h) Administración de activos; planeación con el objetivo de que el ente los utilice de manera más efectiva: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r w:rsidRPr="004007FF">
        <w:rPr>
          <w:rFonts w:ascii="Arial" w:hAnsi="Arial" w:cs="Arial"/>
          <w:sz w:val="20"/>
          <w:szCs w:val="20"/>
          <w:highlight w:val="yellow"/>
        </w:rPr>
        <w:t>Adicionalmente, se deben incluir las explicaciones de las principales variaciones en el activo, en cuadros comparativos como sigue:</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BB4DF3">
        <w:rPr>
          <w:rFonts w:ascii="Arial" w:hAnsi="Arial" w:cs="Arial"/>
          <w:sz w:val="20"/>
          <w:szCs w:val="20"/>
          <w:highlight w:val="yellow"/>
        </w:rPr>
        <w:t>a) Inversiones en valores: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BB4DF3">
        <w:rPr>
          <w:rFonts w:ascii="Arial" w:hAnsi="Arial" w:cs="Arial"/>
          <w:sz w:val="20"/>
          <w:szCs w:val="20"/>
          <w:highlight w:val="yellow"/>
        </w:rPr>
        <w:t>b) Patrimonio de Organismos descentralizados de Control Presupuestario Indirecto:</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BB4DF3">
        <w:rPr>
          <w:rFonts w:ascii="Arial" w:hAnsi="Arial" w:cs="Arial"/>
          <w:sz w:val="20"/>
          <w:szCs w:val="20"/>
          <w:highlight w:val="yellow"/>
        </w:rPr>
        <w:t>c) Inversiones en empresas de participación mayoritaria: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BB4DF3">
        <w:rPr>
          <w:rFonts w:ascii="Arial" w:hAnsi="Arial" w:cs="Arial"/>
          <w:sz w:val="20"/>
          <w:szCs w:val="20"/>
          <w:highlight w:val="yellow"/>
        </w:rPr>
        <w:t>d) Inversiones en empresas de participación minoritaria: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r w:rsidRPr="00BB4DF3">
        <w:rPr>
          <w:rFonts w:ascii="Arial" w:hAnsi="Arial" w:cs="Arial"/>
          <w:sz w:val="20"/>
          <w:szCs w:val="20"/>
          <w:highlight w:val="yellow"/>
        </w:rPr>
        <w:t>e) Patrimonio de organismos descentralizados de control presupuestario directo, según corresponda:</w:t>
      </w:r>
    </w:p>
    <w:p w:rsidR="00CC422E" w:rsidRDefault="00CC422E" w:rsidP="00CC422E">
      <w:pPr>
        <w:jc w:val="both"/>
        <w:rPr>
          <w:rFonts w:ascii="Arial" w:hAnsi="Arial" w:cs="Arial"/>
          <w:b/>
          <w:sz w:val="20"/>
          <w:szCs w:val="20"/>
        </w:rPr>
      </w:pPr>
      <w:r>
        <w:rPr>
          <w:rFonts w:ascii="Arial" w:hAnsi="Arial" w:cs="Arial"/>
          <w:sz w:val="20"/>
          <w:szCs w:val="20"/>
        </w:rPr>
        <w:t>No aplica</w:t>
      </w:r>
    </w:p>
    <w:p w:rsidR="00CC422E" w:rsidRPr="0090761C" w:rsidRDefault="00CC422E" w:rsidP="00CC422E">
      <w:pPr>
        <w:jc w:val="both"/>
        <w:rPr>
          <w:rFonts w:ascii="Arial" w:hAnsi="Arial" w:cs="Arial"/>
          <w:b/>
          <w:sz w:val="20"/>
          <w:szCs w:val="20"/>
        </w:rPr>
      </w:pPr>
      <w:r w:rsidRPr="00BB4DF3">
        <w:rPr>
          <w:rFonts w:ascii="Arial" w:hAnsi="Arial" w:cs="Arial"/>
          <w:b/>
          <w:sz w:val="20"/>
          <w:szCs w:val="20"/>
          <w:highlight w:val="yellow"/>
        </w:rPr>
        <w:t>9. Fideicomisos, Mandatos y Análogos:</w:t>
      </w:r>
    </w:p>
    <w:p w:rsidR="00CC422E" w:rsidRPr="0090761C" w:rsidRDefault="00CC422E" w:rsidP="00CC422E">
      <w:pPr>
        <w:jc w:val="both"/>
        <w:rPr>
          <w:rFonts w:ascii="Arial" w:hAnsi="Arial" w:cs="Arial"/>
          <w:sz w:val="20"/>
          <w:szCs w:val="20"/>
        </w:rPr>
      </w:pPr>
      <w:r w:rsidRPr="00BB4DF3">
        <w:rPr>
          <w:rFonts w:ascii="Arial" w:hAnsi="Arial" w:cs="Arial"/>
          <w:sz w:val="20"/>
          <w:szCs w:val="20"/>
          <w:highlight w:val="yellow"/>
        </w:rPr>
        <w:t>a) Por ramo administrativo que los reporta: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BB4DF3">
        <w:rPr>
          <w:rFonts w:ascii="Arial" w:hAnsi="Arial" w:cs="Arial"/>
          <w:sz w:val="20"/>
          <w:szCs w:val="20"/>
          <w:highlight w:val="yellow"/>
        </w:rPr>
        <w:t>b) Enlistar los de mayor monto de disponibilidad, relacionando aquéllos que conforman el 80% de las disponibilidades:</w:t>
      </w:r>
    </w:p>
    <w:p w:rsidR="00CC422E" w:rsidRPr="0090761C" w:rsidRDefault="00CC422E" w:rsidP="00CC422E">
      <w:pPr>
        <w:jc w:val="both"/>
        <w:rPr>
          <w:rFonts w:ascii="Arial" w:hAnsi="Arial" w:cs="Arial"/>
          <w:sz w:val="20"/>
          <w:szCs w:val="20"/>
        </w:rPr>
      </w:pPr>
      <w:bookmarkStart w:id="12" w:name="_Hlk511211963"/>
      <w:r>
        <w:rPr>
          <w:rFonts w:ascii="Arial" w:hAnsi="Arial" w:cs="Arial"/>
          <w:sz w:val="20"/>
          <w:szCs w:val="20"/>
        </w:rPr>
        <w:t>No aplica</w:t>
      </w:r>
    </w:p>
    <w:bookmarkEnd w:id="12"/>
    <w:p w:rsidR="00CC422E" w:rsidRDefault="00CC422E" w:rsidP="00CC422E">
      <w:pPr>
        <w:jc w:val="both"/>
        <w:rPr>
          <w:rFonts w:ascii="Arial" w:hAnsi="Arial" w:cs="Arial"/>
          <w:b/>
          <w:sz w:val="20"/>
          <w:szCs w:val="20"/>
        </w:rPr>
      </w:pPr>
    </w:p>
    <w:p w:rsidR="00CC422E" w:rsidRPr="00BB4DF3" w:rsidRDefault="00CC422E" w:rsidP="00CC422E">
      <w:pPr>
        <w:jc w:val="both"/>
        <w:rPr>
          <w:rFonts w:ascii="Arial" w:hAnsi="Arial" w:cs="Arial"/>
          <w:b/>
          <w:sz w:val="20"/>
          <w:szCs w:val="20"/>
          <w:highlight w:val="yellow"/>
        </w:rPr>
      </w:pPr>
      <w:r w:rsidRPr="00BB4DF3">
        <w:rPr>
          <w:rFonts w:ascii="Arial" w:hAnsi="Arial" w:cs="Arial"/>
          <w:b/>
          <w:sz w:val="20"/>
          <w:szCs w:val="20"/>
          <w:highlight w:val="yellow"/>
        </w:rPr>
        <w:t>10. Reporte de la Recaudación:</w:t>
      </w:r>
    </w:p>
    <w:p w:rsidR="00CC422E" w:rsidRDefault="00CC422E" w:rsidP="00CC422E">
      <w:pPr>
        <w:jc w:val="both"/>
        <w:rPr>
          <w:rFonts w:ascii="Arial" w:hAnsi="Arial" w:cs="Arial"/>
          <w:sz w:val="20"/>
          <w:szCs w:val="20"/>
        </w:rPr>
      </w:pPr>
      <w:r w:rsidRPr="00BB4DF3">
        <w:rPr>
          <w:rFonts w:ascii="Arial" w:hAnsi="Arial" w:cs="Arial"/>
          <w:sz w:val="20"/>
          <w:szCs w:val="20"/>
          <w:highlight w:val="yellow"/>
        </w:rPr>
        <w:t>a) Análisis del comportamiento de la recaudación correspondiente al ente público o cualquier tipo de ingreso, de forma separada los ingresos locales de los federales:</w:t>
      </w:r>
    </w:p>
    <w:tbl>
      <w:tblPr>
        <w:tblW w:w="6320" w:type="dxa"/>
        <w:tblInd w:w="55" w:type="dxa"/>
        <w:tblCellMar>
          <w:left w:w="70" w:type="dxa"/>
          <w:right w:w="70" w:type="dxa"/>
        </w:tblCellMar>
        <w:tblLook w:val="04A0" w:firstRow="1" w:lastRow="0" w:firstColumn="1" w:lastColumn="0" w:noHBand="0" w:noVBand="1"/>
      </w:tblPr>
      <w:tblGrid>
        <w:gridCol w:w="951"/>
        <w:gridCol w:w="4040"/>
        <w:gridCol w:w="1428"/>
      </w:tblGrid>
      <w:tr w:rsidR="00CC422E" w:rsidRPr="00350030" w:rsidTr="00F3340E">
        <w:trPr>
          <w:trHeight w:val="300"/>
        </w:trPr>
        <w:tc>
          <w:tcPr>
            <w:tcW w:w="940" w:type="dxa"/>
            <w:tcBorders>
              <w:top w:val="single" w:sz="4" w:space="0" w:color="000000"/>
              <w:left w:val="single" w:sz="4" w:space="0" w:color="000000"/>
              <w:bottom w:val="single" w:sz="4" w:space="0" w:color="000000"/>
              <w:right w:val="single" w:sz="4" w:space="0" w:color="000000"/>
            </w:tcBorders>
            <w:shd w:val="clear" w:color="000000" w:fill="92D050"/>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CUENTA</w:t>
            </w:r>
          </w:p>
        </w:tc>
        <w:tc>
          <w:tcPr>
            <w:tcW w:w="4040" w:type="dxa"/>
            <w:tcBorders>
              <w:top w:val="single" w:sz="4" w:space="0" w:color="000000"/>
              <w:left w:val="nil"/>
              <w:bottom w:val="single" w:sz="4" w:space="0" w:color="000000"/>
              <w:right w:val="single" w:sz="4" w:space="0" w:color="000000"/>
            </w:tcBorders>
            <w:shd w:val="clear" w:color="000000" w:fill="92D050"/>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Descripción</w:t>
            </w:r>
          </w:p>
        </w:tc>
        <w:tc>
          <w:tcPr>
            <w:tcW w:w="1340" w:type="dxa"/>
            <w:tcBorders>
              <w:top w:val="single" w:sz="4" w:space="0" w:color="000000"/>
              <w:left w:val="nil"/>
              <w:bottom w:val="single" w:sz="4" w:space="0" w:color="000000"/>
              <w:right w:val="single" w:sz="4" w:space="0" w:color="000000"/>
            </w:tcBorders>
            <w:shd w:val="clear" w:color="000000" w:fill="92D050"/>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MONTO</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lastRenderedPageBreak/>
              <w:t>93000000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SUBSIDIOS Y SUBVENCIONES PATRONATO DE BO</w:t>
            </w:r>
            <w:r>
              <w:rPr>
                <w:rFonts w:eastAsia="Times New Roman" w:cs="Calibri"/>
                <w:color w:val="000000"/>
                <w:sz w:val="20"/>
                <w:szCs w:val="20"/>
                <w:lang w:eastAsia="es-MX"/>
              </w:rPr>
              <w:t>MBEROS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46</w:t>
            </w:r>
            <w:r>
              <w:rPr>
                <w:rFonts w:eastAsia="Times New Roman" w:cs="Calibri"/>
                <w:color w:val="000000"/>
                <w:sz w:val="20"/>
                <w:szCs w:val="20"/>
                <w:lang w:eastAsia="es-MX"/>
              </w:rPr>
              <w:t>´</w:t>
            </w:r>
            <w:r w:rsidRPr="000D35D3">
              <w:rPr>
                <w:rFonts w:eastAsia="Times New Roman" w:cs="Calibri"/>
                <w:color w:val="000000"/>
                <w:sz w:val="20"/>
                <w:szCs w:val="20"/>
                <w:lang w:eastAsia="es-MX"/>
              </w:rPr>
              <w:t>373</w:t>
            </w:r>
            <w:r>
              <w:rPr>
                <w:rFonts w:eastAsia="Times New Roman" w:cs="Calibri"/>
                <w:color w:val="000000"/>
                <w:sz w:val="20"/>
                <w:szCs w:val="20"/>
                <w:lang w:eastAsia="es-MX"/>
              </w:rPr>
              <w:t>,</w:t>
            </w:r>
            <w:r w:rsidRPr="000D35D3">
              <w:rPr>
                <w:rFonts w:eastAsia="Times New Roman" w:cs="Calibri"/>
                <w:color w:val="000000"/>
                <w:sz w:val="20"/>
                <w:szCs w:val="20"/>
                <w:lang w:eastAsia="es-MX"/>
              </w:rPr>
              <w:t>308.07</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71100000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capacitación</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2</w:t>
            </w:r>
            <w:r>
              <w:rPr>
                <w:rFonts w:eastAsia="Times New Roman" w:cs="Calibri"/>
                <w:color w:val="000000"/>
                <w:sz w:val="20"/>
                <w:szCs w:val="20"/>
                <w:lang w:eastAsia="es-MX"/>
              </w:rPr>
              <w:t>´</w:t>
            </w:r>
            <w:r w:rsidRPr="000D35D3">
              <w:rPr>
                <w:rFonts w:eastAsia="Times New Roman" w:cs="Calibri"/>
                <w:color w:val="000000"/>
                <w:sz w:val="20"/>
                <w:szCs w:val="20"/>
                <w:lang w:eastAsia="es-MX"/>
              </w:rPr>
              <w:t>502,343.80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71200000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prevención</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4</w:t>
            </w:r>
            <w:r>
              <w:rPr>
                <w:rFonts w:eastAsia="Times New Roman" w:cs="Calibri"/>
                <w:color w:val="000000"/>
                <w:sz w:val="20"/>
                <w:szCs w:val="20"/>
                <w:lang w:eastAsia="es-MX"/>
              </w:rPr>
              <w:t>´</w:t>
            </w:r>
            <w:r w:rsidRPr="000D35D3">
              <w:rPr>
                <w:rFonts w:eastAsia="Times New Roman" w:cs="Calibri"/>
                <w:color w:val="000000"/>
                <w:sz w:val="20"/>
                <w:szCs w:val="20"/>
                <w:lang w:eastAsia="es-MX"/>
              </w:rPr>
              <w:t>026</w:t>
            </w:r>
            <w:r>
              <w:rPr>
                <w:rFonts w:eastAsia="Times New Roman" w:cs="Calibri"/>
                <w:color w:val="000000"/>
                <w:sz w:val="20"/>
                <w:szCs w:val="20"/>
                <w:lang w:eastAsia="es-MX"/>
              </w:rPr>
              <w:t>,</w:t>
            </w:r>
            <w:r w:rsidRPr="000D35D3">
              <w:rPr>
                <w:rFonts w:eastAsia="Times New Roman" w:cs="Calibri"/>
                <w:color w:val="000000"/>
                <w:sz w:val="20"/>
                <w:szCs w:val="20"/>
                <w:lang w:eastAsia="es-MX"/>
              </w:rPr>
              <w:t>100.2</w:t>
            </w:r>
            <w:r>
              <w:rPr>
                <w:rFonts w:eastAsia="Times New Roman" w:cs="Calibri"/>
                <w:color w:val="000000"/>
                <w:sz w:val="20"/>
                <w:szCs w:val="20"/>
                <w:lang w:eastAsia="es-MX"/>
              </w:rPr>
              <w:t>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71300000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servicios de unidades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220</w:t>
            </w:r>
            <w:r>
              <w:rPr>
                <w:rFonts w:eastAsia="Times New Roman" w:cs="Calibri"/>
                <w:color w:val="000000"/>
                <w:sz w:val="20"/>
                <w:szCs w:val="20"/>
                <w:lang w:eastAsia="es-MX"/>
              </w:rPr>
              <w:t>,</w:t>
            </w:r>
            <w:r w:rsidRPr="000D35D3">
              <w:rPr>
                <w:rFonts w:eastAsia="Times New Roman" w:cs="Calibri"/>
                <w:color w:val="000000"/>
                <w:sz w:val="20"/>
                <w:szCs w:val="20"/>
                <w:lang w:eastAsia="es-MX"/>
              </w:rPr>
              <w:t>000</w:t>
            </w:r>
            <w:r>
              <w:rPr>
                <w:rFonts w:eastAsia="Times New Roman" w:cs="Calibri"/>
                <w:color w:val="000000"/>
                <w:sz w:val="20"/>
                <w:szCs w:val="20"/>
                <w:lang w:eastAsia="es-MX"/>
              </w:rPr>
              <w:t>.00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71400000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otros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55</w:t>
            </w:r>
            <w:r>
              <w:rPr>
                <w:rFonts w:eastAsia="Times New Roman" w:cs="Calibri"/>
                <w:color w:val="000000"/>
                <w:sz w:val="20"/>
                <w:szCs w:val="20"/>
                <w:lang w:eastAsia="es-MX"/>
              </w:rPr>
              <w:t>,</w:t>
            </w:r>
            <w:r w:rsidRPr="000D35D3">
              <w:rPr>
                <w:rFonts w:eastAsia="Times New Roman" w:cs="Calibri"/>
                <w:color w:val="000000"/>
                <w:sz w:val="20"/>
                <w:szCs w:val="20"/>
                <w:lang w:eastAsia="es-MX"/>
              </w:rPr>
              <w:t>000</w:t>
            </w:r>
            <w:r>
              <w:rPr>
                <w:rFonts w:eastAsia="Times New Roman" w:cs="Calibri"/>
                <w:color w:val="000000"/>
                <w:sz w:val="20"/>
                <w:szCs w:val="20"/>
                <w:lang w:eastAsia="es-MX"/>
              </w:rPr>
              <w:t>.00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71700000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PRODUCTOS FINANCIEROS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9</w:t>
            </w:r>
            <w:r>
              <w:rPr>
                <w:rFonts w:eastAsia="Times New Roman" w:cs="Calibri"/>
                <w:color w:val="000000"/>
                <w:sz w:val="20"/>
                <w:szCs w:val="20"/>
                <w:lang w:eastAsia="es-MX"/>
              </w:rPr>
              <w:t>,</w:t>
            </w:r>
            <w:r w:rsidRPr="000D35D3">
              <w:rPr>
                <w:rFonts w:eastAsia="Times New Roman" w:cs="Calibri"/>
                <w:color w:val="000000"/>
                <w:sz w:val="20"/>
                <w:szCs w:val="20"/>
                <w:lang w:eastAsia="es-MX"/>
              </w:rPr>
              <w:t>000</w:t>
            </w:r>
            <w:r>
              <w:rPr>
                <w:rFonts w:eastAsia="Times New Roman" w:cs="Calibri"/>
                <w:color w:val="000000"/>
                <w:sz w:val="20"/>
                <w:szCs w:val="20"/>
                <w:lang w:eastAsia="es-MX"/>
              </w:rPr>
              <w:t>.00</w:t>
            </w:r>
          </w:p>
        </w:tc>
      </w:tr>
      <w:tr w:rsidR="00CC422E" w:rsidRPr="00350030" w:rsidTr="00F3340E">
        <w:trPr>
          <w:trHeight w:val="315"/>
        </w:trPr>
        <w:tc>
          <w:tcPr>
            <w:tcW w:w="9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c>
          <w:tcPr>
            <w:tcW w:w="40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c>
          <w:tcPr>
            <w:tcW w:w="13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r>
      <w:tr w:rsidR="00CC422E" w:rsidRPr="00350030" w:rsidTr="00F3340E">
        <w:trPr>
          <w:trHeight w:val="315"/>
        </w:trPr>
        <w:tc>
          <w:tcPr>
            <w:tcW w:w="9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c>
          <w:tcPr>
            <w:tcW w:w="4040" w:type="dxa"/>
            <w:tcBorders>
              <w:top w:val="single" w:sz="8" w:space="0" w:color="auto"/>
              <w:left w:val="single" w:sz="8" w:space="0" w:color="auto"/>
              <w:bottom w:val="single" w:sz="8" w:space="0" w:color="auto"/>
              <w:right w:val="single" w:sz="8" w:space="0" w:color="auto"/>
            </w:tcBorders>
            <w:shd w:val="clear" w:color="000000" w:fill="E46D0A"/>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TOTAL</w:t>
            </w:r>
          </w:p>
        </w:tc>
        <w:tc>
          <w:tcPr>
            <w:tcW w:w="1340" w:type="dxa"/>
            <w:tcBorders>
              <w:top w:val="single" w:sz="8" w:space="0" w:color="auto"/>
              <w:left w:val="nil"/>
              <w:bottom w:val="single" w:sz="8" w:space="0" w:color="auto"/>
              <w:right w:val="single" w:sz="8" w:space="0" w:color="auto"/>
            </w:tcBorders>
            <w:shd w:val="clear" w:color="000000" w:fill="E46D0A"/>
            <w:noWrap/>
            <w:vAlign w:val="bottom"/>
            <w:hideMark/>
          </w:tcPr>
          <w:p w:rsidR="00CC422E" w:rsidRPr="00350030" w:rsidRDefault="000D35D3" w:rsidP="00F3340E">
            <w:pPr>
              <w:spacing w:after="0" w:line="240" w:lineRule="auto"/>
              <w:jc w:val="right"/>
              <w:rPr>
                <w:rFonts w:eastAsia="Times New Roman" w:cs="Calibri"/>
                <w:b/>
                <w:bCs/>
                <w:color w:val="000000"/>
                <w:lang w:eastAsia="es-MX"/>
              </w:rPr>
            </w:pPr>
            <w:r w:rsidRPr="000D35D3">
              <w:rPr>
                <w:rFonts w:eastAsia="Times New Roman" w:cs="Calibri"/>
                <w:b/>
                <w:bCs/>
                <w:color w:val="000000"/>
                <w:lang w:eastAsia="es-MX"/>
              </w:rPr>
              <w:t>53,185,752.07</w:t>
            </w:r>
          </w:p>
        </w:tc>
      </w:tr>
    </w:tbl>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BB4DF3">
        <w:rPr>
          <w:rFonts w:ascii="Arial" w:hAnsi="Arial" w:cs="Arial"/>
          <w:sz w:val="20"/>
          <w:szCs w:val="20"/>
          <w:highlight w:val="yellow"/>
        </w:rPr>
        <w:t>b) Proyección de la recaudación e ingresos en el mediano plazo:</w:t>
      </w:r>
    </w:p>
    <w:p w:rsidR="00CC422E" w:rsidRPr="0090761C" w:rsidRDefault="00CC422E" w:rsidP="00CC422E">
      <w:pPr>
        <w:jc w:val="both"/>
        <w:rPr>
          <w:rFonts w:ascii="Arial" w:hAnsi="Arial" w:cs="Arial"/>
          <w:sz w:val="20"/>
          <w:szCs w:val="20"/>
        </w:rPr>
      </w:pPr>
      <w:bookmarkStart w:id="13" w:name="_Hlk511212101"/>
      <w:r>
        <w:rPr>
          <w:rFonts w:ascii="Arial" w:hAnsi="Arial" w:cs="Arial"/>
          <w:sz w:val="20"/>
          <w:szCs w:val="20"/>
        </w:rPr>
        <w:t>No aplica</w:t>
      </w:r>
    </w:p>
    <w:bookmarkEnd w:id="13"/>
    <w:p w:rsidR="00CC422E" w:rsidRPr="0090761C" w:rsidRDefault="00CC422E" w:rsidP="00CC422E">
      <w:pPr>
        <w:jc w:val="both"/>
        <w:rPr>
          <w:rFonts w:ascii="Arial" w:hAnsi="Arial" w:cs="Arial"/>
          <w:b/>
          <w:sz w:val="20"/>
          <w:szCs w:val="20"/>
        </w:rPr>
      </w:pPr>
      <w:r w:rsidRPr="00BB4DF3">
        <w:rPr>
          <w:rFonts w:ascii="Arial" w:hAnsi="Arial" w:cs="Arial"/>
          <w:b/>
          <w:sz w:val="20"/>
          <w:szCs w:val="20"/>
          <w:highlight w:val="yellow"/>
        </w:rPr>
        <w:t>11. Información sobre la Deuda y el Reporte Analítico de la Deuda:</w:t>
      </w:r>
    </w:p>
    <w:p w:rsidR="00CC422E" w:rsidRDefault="00CC422E" w:rsidP="00CC422E">
      <w:pPr>
        <w:jc w:val="both"/>
        <w:rPr>
          <w:rFonts w:ascii="Arial" w:hAnsi="Arial" w:cs="Arial"/>
          <w:sz w:val="20"/>
          <w:szCs w:val="20"/>
        </w:rPr>
      </w:pPr>
      <w:r w:rsidRPr="00BB4DF3">
        <w:rPr>
          <w:rFonts w:ascii="Arial" w:hAnsi="Arial" w:cs="Arial"/>
          <w:sz w:val="20"/>
          <w:szCs w:val="20"/>
          <w:highlight w:val="yellow"/>
        </w:rPr>
        <w:t>a) Utilizar al menos los siguientes indicadores: deuda respecto al PIB y deuda respecto a la recaudación tomando, como mínimo, un período igual o menor a 5 años.</w:t>
      </w:r>
    </w:p>
    <w:p w:rsidR="00CC422E" w:rsidRPr="0090761C" w:rsidRDefault="00CC422E" w:rsidP="00CC422E">
      <w:pPr>
        <w:jc w:val="both"/>
        <w:rPr>
          <w:rFonts w:ascii="Arial" w:hAnsi="Arial" w:cs="Arial"/>
          <w:sz w:val="20"/>
          <w:szCs w:val="20"/>
        </w:rPr>
      </w:pPr>
      <w:bookmarkStart w:id="14" w:name="_Hlk511212155"/>
      <w:r>
        <w:rPr>
          <w:rFonts w:ascii="Arial" w:hAnsi="Arial" w:cs="Arial"/>
          <w:sz w:val="20"/>
          <w:szCs w:val="20"/>
        </w:rPr>
        <w:t>No aplica</w:t>
      </w:r>
    </w:p>
    <w:bookmarkEnd w:id="14"/>
    <w:p w:rsidR="00CC422E" w:rsidRDefault="00CC422E" w:rsidP="00CC422E">
      <w:pPr>
        <w:jc w:val="both"/>
        <w:rPr>
          <w:rFonts w:ascii="Arial" w:hAnsi="Arial" w:cs="Arial"/>
          <w:sz w:val="20"/>
          <w:szCs w:val="20"/>
        </w:rPr>
      </w:pPr>
      <w:r w:rsidRPr="00BB4DF3">
        <w:rPr>
          <w:rFonts w:ascii="Arial" w:hAnsi="Arial" w:cs="Arial"/>
          <w:sz w:val="20"/>
          <w:szCs w:val="20"/>
          <w:highlight w:val="yellow"/>
        </w:rPr>
        <w:t>b) Información de manera agrupada por tipo de valor gubernamental o instrumento financiero en la que se considere intereses, comisiones, tasa, perfil de vencimiento y otros gastos de la deuda.</w:t>
      </w:r>
    </w:p>
    <w:p w:rsidR="00CC422E" w:rsidRPr="0090761C" w:rsidRDefault="00CC422E" w:rsidP="00CC422E">
      <w:pPr>
        <w:jc w:val="both"/>
        <w:rPr>
          <w:rFonts w:ascii="Arial" w:hAnsi="Arial" w:cs="Arial"/>
          <w:sz w:val="20"/>
          <w:szCs w:val="20"/>
        </w:rPr>
      </w:pPr>
      <w:bookmarkStart w:id="15" w:name="_Hlk511212221"/>
      <w:r>
        <w:rPr>
          <w:rFonts w:ascii="Arial" w:hAnsi="Arial" w:cs="Arial"/>
          <w:sz w:val="20"/>
          <w:szCs w:val="20"/>
        </w:rPr>
        <w:t>No aplica</w:t>
      </w:r>
    </w:p>
    <w:bookmarkEnd w:id="15"/>
    <w:p w:rsidR="00CC422E" w:rsidRDefault="00CC422E" w:rsidP="00CC422E">
      <w:pPr>
        <w:jc w:val="both"/>
        <w:rPr>
          <w:rFonts w:ascii="Arial" w:hAnsi="Arial" w:cs="Arial"/>
          <w:sz w:val="20"/>
          <w:szCs w:val="20"/>
        </w:rPr>
      </w:pPr>
      <w:r w:rsidRPr="0090761C">
        <w:rPr>
          <w:rFonts w:ascii="Arial" w:hAnsi="Arial" w:cs="Arial"/>
          <w:sz w:val="20"/>
          <w:szCs w:val="20"/>
        </w:rPr>
        <w:t xml:space="preserve">* Se </w:t>
      </w:r>
      <w:r w:rsidR="00BB4DF3" w:rsidRPr="0090761C">
        <w:rPr>
          <w:rFonts w:ascii="Arial" w:hAnsi="Arial" w:cs="Arial"/>
          <w:sz w:val="20"/>
          <w:szCs w:val="20"/>
        </w:rPr>
        <w:t>anexará</w:t>
      </w:r>
      <w:r w:rsidRPr="0090761C">
        <w:rPr>
          <w:rFonts w:ascii="Arial" w:hAnsi="Arial" w:cs="Arial"/>
          <w:sz w:val="20"/>
          <w:szCs w:val="20"/>
        </w:rPr>
        <w:t xml:space="preserve"> la información en las notas de desglose.</w:t>
      </w:r>
    </w:p>
    <w:p w:rsidR="00CC422E" w:rsidRPr="0090761C" w:rsidRDefault="00CC422E" w:rsidP="00CC422E">
      <w:pPr>
        <w:jc w:val="both"/>
        <w:rPr>
          <w:rFonts w:ascii="Arial" w:hAnsi="Arial" w:cs="Arial"/>
          <w:b/>
          <w:sz w:val="20"/>
          <w:szCs w:val="20"/>
        </w:rPr>
      </w:pPr>
      <w:r w:rsidRPr="00BB4DF3">
        <w:rPr>
          <w:rFonts w:ascii="Arial" w:hAnsi="Arial" w:cs="Arial"/>
          <w:b/>
          <w:sz w:val="20"/>
          <w:szCs w:val="20"/>
          <w:highlight w:val="yellow"/>
        </w:rPr>
        <w:t>12. Calificaciones otorgadas:</w:t>
      </w:r>
    </w:p>
    <w:p w:rsidR="00CC422E" w:rsidRPr="0090761C" w:rsidRDefault="00CC422E" w:rsidP="00CC422E">
      <w:pPr>
        <w:jc w:val="both"/>
        <w:rPr>
          <w:rFonts w:ascii="Arial" w:hAnsi="Arial" w:cs="Arial"/>
          <w:sz w:val="20"/>
          <w:szCs w:val="20"/>
        </w:rPr>
      </w:pPr>
      <w:r w:rsidRPr="00BB4DF3">
        <w:rPr>
          <w:rFonts w:ascii="Arial" w:hAnsi="Arial" w:cs="Arial"/>
          <w:sz w:val="20"/>
          <w:szCs w:val="20"/>
          <w:highlight w:val="yellow"/>
        </w:rPr>
        <w:t>Informar, tanto del ente público como cualquier transacción realizada, que haya sido sujeta a una calificación crediticia</w:t>
      </w:r>
      <w:r w:rsidRPr="0090761C">
        <w:rPr>
          <w:rFonts w:ascii="Arial" w:hAnsi="Arial" w:cs="Arial"/>
          <w:sz w:val="20"/>
          <w:szCs w:val="20"/>
        </w:rPr>
        <w:t>:</w:t>
      </w:r>
    </w:p>
    <w:p w:rsidR="00CC422E" w:rsidRDefault="00CC422E" w:rsidP="00CC422E">
      <w:pPr>
        <w:jc w:val="both"/>
        <w:rPr>
          <w:rFonts w:ascii="Arial" w:hAnsi="Arial" w:cs="Arial"/>
          <w:sz w:val="20"/>
          <w:szCs w:val="20"/>
        </w:rPr>
      </w:pPr>
      <w:bookmarkStart w:id="16" w:name="_Hlk511212263"/>
      <w:r>
        <w:rPr>
          <w:rFonts w:ascii="Arial" w:hAnsi="Arial" w:cs="Arial"/>
          <w:sz w:val="20"/>
          <w:szCs w:val="20"/>
        </w:rPr>
        <w:t>No aplica</w:t>
      </w:r>
    </w:p>
    <w:bookmarkEnd w:id="16"/>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BB4DF3">
        <w:rPr>
          <w:rFonts w:ascii="Arial" w:hAnsi="Arial" w:cs="Arial"/>
          <w:b/>
          <w:sz w:val="20"/>
          <w:szCs w:val="20"/>
          <w:highlight w:val="yellow"/>
        </w:rPr>
        <w:t>13. Proceso de Mejora:</w:t>
      </w:r>
    </w:p>
    <w:p w:rsidR="00CC422E" w:rsidRPr="0090761C" w:rsidRDefault="00CC422E" w:rsidP="00CC422E">
      <w:pPr>
        <w:jc w:val="both"/>
        <w:rPr>
          <w:rFonts w:ascii="Arial" w:hAnsi="Arial" w:cs="Arial"/>
          <w:sz w:val="20"/>
          <w:szCs w:val="20"/>
        </w:rPr>
      </w:pPr>
      <w:r w:rsidRPr="0090761C">
        <w:rPr>
          <w:rFonts w:ascii="Arial" w:hAnsi="Arial" w:cs="Arial"/>
          <w:sz w:val="20"/>
          <w:szCs w:val="20"/>
        </w:rPr>
        <w:t>Se informará de:</w:t>
      </w:r>
    </w:p>
    <w:p w:rsidR="00CC422E" w:rsidRPr="0090761C" w:rsidRDefault="00CC422E" w:rsidP="00CC422E">
      <w:pPr>
        <w:jc w:val="both"/>
        <w:rPr>
          <w:rFonts w:ascii="Arial" w:hAnsi="Arial" w:cs="Arial"/>
          <w:sz w:val="20"/>
          <w:szCs w:val="20"/>
        </w:rPr>
      </w:pPr>
      <w:r w:rsidRPr="00BB4DF3">
        <w:rPr>
          <w:rFonts w:ascii="Arial" w:hAnsi="Arial" w:cs="Arial"/>
          <w:sz w:val="20"/>
          <w:szCs w:val="20"/>
          <w:highlight w:val="yellow"/>
        </w:rPr>
        <w:t>a) Principales Políticas de control interno:</w:t>
      </w:r>
    </w:p>
    <w:p w:rsidR="00CC422E" w:rsidRPr="0090761C" w:rsidRDefault="00CC422E" w:rsidP="00CC422E">
      <w:pPr>
        <w:jc w:val="both"/>
        <w:rPr>
          <w:rFonts w:ascii="Arial" w:hAnsi="Arial" w:cs="Arial"/>
          <w:sz w:val="20"/>
          <w:szCs w:val="20"/>
        </w:rPr>
      </w:pPr>
      <w:bookmarkStart w:id="17" w:name="_Hlk511212288"/>
      <w:r>
        <w:rPr>
          <w:rFonts w:ascii="Arial" w:hAnsi="Arial" w:cs="Arial"/>
          <w:sz w:val="20"/>
          <w:szCs w:val="20"/>
        </w:rPr>
        <w:t>En Proceso se tiene un avance del 90%</w:t>
      </w:r>
    </w:p>
    <w:bookmarkEnd w:id="17"/>
    <w:p w:rsidR="00CC422E" w:rsidRPr="0090761C" w:rsidRDefault="00CC422E" w:rsidP="00CC422E">
      <w:pPr>
        <w:jc w:val="both"/>
        <w:rPr>
          <w:rFonts w:ascii="Arial" w:hAnsi="Arial" w:cs="Arial"/>
          <w:sz w:val="20"/>
          <w:szCs w:val="20"/>
        </w:rPr>
      </w:pPr>
      <w:r w:rsidRPr="00BB4DF3">
        <w:rPr>
          <w:rFonts w:ascii="Arial" w:hAnsi="Arial" w:cs="Arial"/>
          <w:sz w:val="20"/>
          <w:szCs w:val="20"/>
          <w:highlight w:val="yellow"/>
        </w:rPr>
        <w:t>b) Medidas de desempeño financiero, metas y alcance:</w:t>
      </w:r>
    </w:p>
    <w:p w:rsidR="00CC422E" w:rsidRDefault="00CC422E" w:rsidP="00CC422E">
      <w:pPr>
        <w:jc w:val="both"/>
        <w:rPr>
          <w:rFonts w:ascii="Arial" w:hAnsi="Arial" w:cs="Arial"/>
          <w:sz w:val="20"/>
          <w:szCs w:val="20"/>
        </w:rPr>
      </w:pPr>
      <w:bookmarkStart w:id="18" w:name="_Hlk511212335"/>
      <w:r>
        <w:rPr>
          <w:rFonts w:ascii="Arial" w:hAnsi="Arial" w:cs="Arial"/>
          <w:sz w:val="20"/>
          <w:szCs w:val="20"/>
        </w:rPr>
        <w:t>Son los que se info</w:t>
      </w:r>
      <w:r w:rsidR="00C40B14">
        <w:rPr>
          <w:rFonts w:ascii="Arial" w:hAnsi="Arial" w:cs="Arial"/>
          <w:sz w:val="20"/>
          <w:szCs w:val="20"/>
        </w:rPr>
        <w:t>rma en el PBR del ejercicio 2017</w:t>
      </w:r>
      <w:r>
        <w:rPr>
          <w:rFonts w:ascii="Arial" w:hAnsi="Arial" w:cs="Arial"/>
          <w:sz w:val="20"/>
          <w:szCs w:val="20"/>
        </w:rPr>
        <w:t>.</w:t>
      </w:r>
    </w:p>
    <w:bookmarkEnd w:id="18"/>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BB4DF3">
        <w:rPr>
          <w:rFonts w:ascii="Arial" w:hAnsi="Arial" w:cs="Arial"/>
          <w:b/>
          <w:sz w:val="20"/>
          <w:szCs w:val="20"/>
          <w:highlight w:val="yellow"/>
        </w:rPr>
        <w:lastRenderedPageBreak/>
        <w:t>14. Información por Segmentos:</w:t>
      </w:r>
    </w:p>
    <w:p w:rsidR="00CC422E" w:rsidRPr="00BB4DF3" w:rsidRDefault="00CC422E" w:rsidP="00CC422E">
      <w:pPr>
        <w:jc w:val="both"/>
        <w:rPr>
          <w:rFonts w:ascii="Arial" w:hAnsi="Arial" w:cs="Arial"/>
          <w:sz w:val="20"/>
          <w:szCs w:val="20"/>
          <w:highlight w:val="yellow"/>
        </w:rPr>
      </w:pPr>
      <w:r w:rsidRPr="00BB4DF3">
        <w:rPr>
          <w:rFonts w:ascii="Arial" w:hAnsi="Arial" w:cs="Arial"/>
          <w:sz w:val="20"/>
          <w:szCs w:val="20"/>
          <w:highlight w:val="yellow"/>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C422E" w:rsidRDefault="00CC422E" w:rsidP="00CC422E">
      <w:pPr>
        <w:jc w:val="both"/>
        <w:rPr>
          <w:rFonts w:ascii="Arial" w:hAnsi="Arial" w:cs="Arial"/>
          <w:sz w:val="20"/>
          <w:szCs w:val="20"/>
        </w:rPr>
      </w:pPr>
      <w:r w:rsidRPr="00BB4DF3">
        <w:rPr>
          <w:rFonts w:ascii="Arial" w:hAnsi="Arial" w:cs="Arial"/>
          <w:sz w:val="20"/>
          <w:szCs w:val="20"/>
          <w:highlight w:val="yellow"/>
        </w:rPr>
        <w:t>Consecuentemente, esta información contribuye al análisis más preciso de la situación financiera, grados y fuentes de riesgo y crecimiento potencial de negocio.</w:t>
      </w:r>
    </w:p>
    <w:p w:rsidR="00CC422E" w:rsidRPr="0090761C" w:rsidRDefault="00CC422E" w:rsidP="00CC422E">
      <w:pPr>
        <w:jc w:val="both"/>
        <w:rPr>
          <w:rFonts w:ascii="Arial" w:hAnsi="Arial" w:cs="Arial"/>
          <w:sz w:val="20"/>
          <w:szCs w:val="20"/>
        </w:rPr>
      </w:pPr>
      <w:bookmarkStart w:id="19" w:name="_Hlk511212410"/>
      <w:r>
        <w:rPr>
          <w:rFonts w:ascii="Arial" w:hAnsi="Arial" w:cs="Arial"/>
          <w:sz w:val="20"/>
          <w:szCs w:val="20"/>
        </w:rPr>
        <w:t>Nada que manifestar</w:t>
      </w:r>
    </w:p>
    <w:bookmarkEnd w:id="19"/>
    <w:p w:rsidR="00CC422E" w:rsidRPr="0090761C" w:rsidRDefault="00CC422E" w:rsidP="00CC422E">
      <w:pPr>
        <w:jc w:val="both"/>
        <w:rPr>
          <w:rFonts w:ascii="Arial" w:hAnsi="Arial" w:cs="Arial"/>
          <w:b/>
          <w:sz w:val="20"/>
          <w:szCs w:val="20"/>
        </w:rPr>
      </w:pPr>
      <w:r w:rsidRPr="00BB4DF3">
        <w:rPr>
          <w:rFonts w:ascii="Arial" w:hAnsi="Arial" w:cs="Arial"/>
          <w:b/>
          <w:sz w:val="20"/>
          <w:szCs w:val="20"/>
          <w:highlight w:val="yellow"/>
        </w:rPr>
        <w:t>15. Eventos Posteriores al Cierre:</w:t>
      </w:r>
    </w:p>
    <w:p w:rsidR="00CC422E" w:rsidRDefault="00CC422E" w:rsidP="00CC422E">
      <w:pPr>
        <w:jc w:val="both"/>
        <w:rPr>
          <w:rFonts w:ascii="Arial" w:hAnsi="Arial" w:cs="Arial"/>
          <w:sz w:val="20"/>
          <w:szCs w:val="20"/>
        </w:rPr>
      </w:pPr>
      <w:r w:rsidRPr="0090761C">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w:t>
      </w:r>
      <w:r>
        <w:rPr>
          <w:rFonts w:ascii="Arial" w:hAnsi="Arial" w:cs="Arial"/>
          <w:sz w:val="20"/>
          <w:szCs w:val="20"/>
        </w:rPr>
        <w:t>nocían a la fecha de cierre.</w:t>
      </w:r>
    </w:p>
    <w:p w:rsidR="00CC422E" w:rsidRPr="0090761C" w:rsidRDefault="00CC422E" w:rsidP="00CC422E">
      <w:pPr>
        <w:jc w:val="both"/>
        <w:rPr>
          <w:rFonts w:ascii="Arial" w:hAnsi="Arial" w:cs="Arial"/>
          <w:sz w:val="20"/>
          <w:szCs w:val="20"/>
        </w:rPr>
      </w:pPr>
      <w:bookmarkStart w:id="20" w:name="_Hlk511212440"/>
      <w:r>
        <w:rPr>
          <w:rFonts w:ascii="Arial" w:hAnsi="Arial" w:cs="Arial"/>
          <w:sz w:val="20"/>
          <w:szCs w:val="20"/>
        </w:rPr>
        <w:t>Nada que manifestar</w:t>
      </w:r>
    </w:p>
    <w:bookmarkEnd w:id="20"/>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775673">
        <w:rPr>
          <w:rFonts w:ascii="Arial" w:hAnsi="Arial" w:cs="Arial"/>
          <w:b/>
          <w:sz w:val="20"/>
          <w:szCs w:val="20"/>
          <w:highlight w:val="yellow"/>
        </w:rPr>
        <w:t>16. Partes Relacionadas:</w:t>
      </w:r>
    </w:p>
    <w:p w:rsidR="00CC422E" w:rsidRPr="0090761C" w:rsidRDefault="00CC422E" w:rsidP="00CC422E">
      <w:pPr>
        <w:jc w:val="both"/>
        <w:rPr>
          <w:rFonts w:ascii="Arial" w:hAnsi="Arial" w:cs="Arial"/>
          <w:sz w:val="20"/>
          <w:szCs w:val="20"/>
        </w:rPr>
      </w:pPr>
      <w:r w:rsidRPr="00775673">
        <w:rPr>
          <w:rFonts w:ascii="Arial" w:hAnsi="Arial" w:cs="Arial"/>
          <w:sz w:val="20"/>
          <w:szCs w:val="20"/>
          <w:highlight w:val="yellow"/>
        </w:rPr>
        <w:t>Se debe establecer por escrito que no existen partes relacionadas que pudieran ejercer influencia significativa sobre la toma de decisiones financieras y operativas:</w:t>
      </w:r>
    </w:p>
    <w:p w:rsidR="00CC422E" w:rsidRDefault="00CC422E" w:rsidP="00CC422E">
      <w:pPr>
        <w:jc w:val="both"/>
        <w:rPr>
          <w:rFonts w:ascii="Arial" w:hAnsi="Arial" w:cs="Arial"/>
          <w:sz w:val="20"/>
          <w:szCs w:val="20"/>
        </w:rPr>
      </w:pPr>
      <w:bookmarkStart w:id="21" w:name="_Hlk511212490"/>
      <w:r>
        <w:rPr>
          <w:rFonts w:ascii="Arial" w:hAnsi="Arial" w:cs="Arial"/>
          <w:sz w:val="20"/>
          <w:szCs w:val="20"/>
        </w:rPr>
        <w:t>No aplica</w:t>
      </w:r>
    </w:p>
    <w:bookmarkEnd w:id="21"/>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775673">
        <w:rPr>
          <w:rFonts w:ascii="Arial" w:hAnsi="Arial" w:cs="Arial"/>
          <w:b/>
          <w:sz w:val="20"/>
          <w:szCs w:val="20"/>
          <w:highlight w:val="yellow"/>
        </w:rPr>
        <w:t>17. Responsabilidad sobre la presentación razonable de</w:t>
      </w:r>
      <w:r w:rsidRPr="0090761C">
        <w:rPr>
          <w:rFonts w:ascii="Arial" w:hAnsi="Arial" w:cs="Arial"/>
          <w:b/>
          <w:sz w:val="20"/>
          <w:szCs w:val="20"/>
        </w:rPr>
        <w:t xml:space="preserve"> </w:t>
      </w:r>
      <w:r w:rsidRPr="00775673">
        <w:rPr>
          <w:rFonts w:ascii="Arial" w:hAnsi="Arial" w:cs="Arial"/>
          <w:b/>
          <w:sz w:val="20"/>
          <w:szCs w:val="20"/>
          <w:highlight w:val="red"/>
        </w:rPr>
        <w:t>los Estados Financieros</w:t>
      </w:r>
      <w:r w:rsidRPr="0090761C">
        <w:rPr>
          <w:rFonts w:ascii="Arial" w:hAnsi="Arial" w:cs="Arial"/>
          <w:b/>
          <w:sz w:val="20"/>
          <w:szCs w:val="20"/>
        </w:rPr>
        <w:t>:</w:t>
      </w:r>
    </w:p>
    <w:p w:rsidR="00CC422E" w:rsidRDefault="00CC422E" w:rsidP="00CC422E">
      <w:pPr>
        <w:jc w:val="both"/>
        <w:rPr>
          <w:rFonts w:ascii="Arial" w:hAnsi="Arial" w:cs="Arial"/>
          <w:sz w:val="20"/>
          <w:szCs w:val="20"/>
        </w:rPr>
      </w:pPr>
      <w:r w:rsidRPr="00775673">
        <w:rPr>
          <w:rFonts w:ascii="Arial" w:hAnsi="Arial" w:cs="Arial"/>
          <w:sz w:val="20"/>
          <w:szCs w:val="20"/>
          <w:highlight w:val="red"/>
        </w:rPr>
        <w:t>Los Estados Financieros deberán estar rubricados en cada página de los mismos e incluir al final la siguiente leyenda:</w:t>
      </w:r>
      <w:r w:rsidRPr="0090761C">
        <w:rPr>
          <w:rFonts w:ascii="Arial" w:hAnsi="Arial" w:cs="Arial"/>
          <w:sz w:val="20"/>
          <w:szCs w:val="20"/>
        </w:rPr>
        <w:t xml:space="preserve">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bookmarkStart w:id="22" w:name="_GoBack"/>
      <w:bookmarkEnd w:id="22"/>
      <w:r w:rsidRPr="00775673">
        <w:rPr>
          <w:rFonts w:ascii="Arial" w:hAnsi="Arial" w:cs="Arial"/>
          <w:sz w:val="20"/>
          <w:szCs w:val="20"/>
          <w:highlight w:val="yellow"/>
        </w:rPr>
        <w:t>“Bajo protesta de decir verdad declaramos que los Estados Financieros y sus notas, son razonablemente correctos y son responsabilidad del emisor.”</w:t>
      </w:r>
    </w:p>
    <w:p w:rsidR="007D1E76" w:rsidRDefault="007D1E76" w:rsidP="007D1E76">
      <w:pPr>
        <w:spacing w:after="0" w:line="240" w:lineRule="auto"/>
        <w:jc w:val="both"/>
        <w:rPr>
          <w:rFonts w:cs="Calibri"/>
        </w:rPr>
      </w:pPr>
    </w:p>
    <w:p w:rsidR="00CC422E" w:rsidRDefault="00CC422E" w:rsidP="007D1E76">
      <w:pPr>
        <w:spacing w:after="0" w:line="240" w:lineRule="auto"/>
        <w:jc w:val="both"/>
        <w:rPr>
          <w:sz w:val="20"/>
          <w:szCs w:val="20"/>
          <w:lang w:eastAsia="es-MX"/>
        </w:rPr>
      </w:pPr>
      <w:r>
        <w:fldChar w:fldCharType="begin"/>
      </w:r>
      <w:r>
        <w:instrText xml:space="preserve"> LINK Excel.Sheet.12 "Libro1" "FIRMAS!F3C9:F4C11" \a \f 4 \h </w:instrText>
      </w:r>
      <w:r>
        <w:fldChar w:fldCharType="separate"/>
      </w:r>
    </w:p>
    <w:tbl>
      <w:tblPr>
        <w:tblW w:w="7340" w:type="dxa"/>
        <w:tblInd w:w="70" w:type="dxa"/>
        <w:tblCellMar>
          <w:left w:w="70" w:type="dxa"/>
          <w:right w:w="70" w:type="dxa"/>
        </w:tblCellMar>
        <w:tblLook w:val="04A0" w:firstRow="1" w:lastRow="0" w:firstColumn="1" w:lastColumn="0" w:noHBand="0" w:noVBand="1"/>
      </w:tblPr>
      <w:tblGrid>
        <w:gridCol w:w="2615"/>
        <w:gridCol w:w="2360"/>
        <w:gridCol w:w="2365"/>
      </w:tblGrid>
      <w:tr w:rsidR="00CC422E" w:rsidRPr="00CC422E" w:rsidTr="00CC422E">
        <w:trPr>
          <w:trHeight w:val="300"/>
        </w:trPr>
        <w:tc>
          <w:tcPr>
            <w:tcW w:w="262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________________________</w:t>
            </w:r>
          </w:p>
        </w:tc>
        <w:tc>
          <w:tcPr>
            <w:tcW w:w="2360" w:type="dxa"/>
            <w:tcBorders>
              <w:top w:val="nil"/>
              <w:left w:val="nil"/>
              <w:bottom w:val="nil"/>
              <w:right w:val="nil"/>
            </w:tcBorders>
            <w:shd w:val="clear" w:color="auto" w:fill="auto"/>
            <w:noWrap/>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_____________________</w:t>
            </w:r>
          </w:p>
        </w:tc>
        <w:tc>
          <w:tcPr>
            <w:tcW w:w="2360" w:type="dxa"/>
            <w:tcBorders>
              <w:top w:val="nil"/>
              <w:left w:val="nil"/>
              <w:bottom w:val="nil"/>
              <w:right w:val="nil"/>
            </w:tcBorders>
            <w:shd w:val="clear" w:color="auto" w:fill="auto"/>
            <w:noWrap/>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_________________________</w:t>
            </w:r>
          </w:p>
        </w:tc>
      </w:tr>
      <w:tr w:rsidR="00CC422E" w:rsidRPr="00CC422E" w:rsidTr="00CC422E">
        <w:trPr>
          <w:trHeight w:val="735"/>
        </w:trPr>
        <w:tc>
          <w:tcPr>
            <w:tcW w:w="262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proofErr w:type="gramStart"/>
            <w:r w:rsidRPr="00CC422E">
              <w:rPr>
                <w:rFonts w:ascii="Arial" w:eastAsia="Times New Roman" w:hAnsi="Arial" w:cs="Arial"/>
                <w:sz w:val="16"/>
                <w:szCs w:val="16"/>
                <w:lang w:eastAsia="es-MX"/>
              </w:rPr>
              <w:t>PRESIDENTE  ING.</w:t>
            </w:r>
            <w:proofErr w:type="gramEnd"/>
            <w:r w:rsidRPr="00CC422E">
              <w:rPr>
                <w:rFonts w:ascii="Arial" w:eastAsia="Times New Roman" w:hAnsi="Arial" w:cs="Arial"/>
                <w:sz w:val="16"/>
                <w:szCs w:val="16"/>
                <w:lang w:eastAsia="es-MX"/>
              </w:rPr>
              <w:t xml:space="preserve"> FRANCISCO NICOLÁS ESCOBAR TOVAR</w:t>
            </w:r>
          </w:p>
        </w:tc>
        <w:tc>
          <w:tcPr>
            <w:tcW w:w="236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DIRECTOR GENERAL JOSÉ LUIS CARPIO GUZMÁN</w:t>
            </w:r>
          </w:p>
        </w:tc>
        <w:tc>
          <w:tcPr>
            <w:tcW w:w="236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TESORERO C. P. JUAN MANUEL ÁLVAREZ HERNÁNDEZ</w:t>
            </w:r>
          </w:p>
        </w:tc>
      </w:tr>
    </w:tbl>
    <w:p w:rsidR="00CC422E" w:rsidRPr="00E74967" w:rsidRDefault="00CC422E" w:rsidP="007D1E76">
      <w:pPr>
        <w:spacing w:after="0" w:line="240" w:lineRule="auto"/>
        <w:jc w:val="both"/>
        <w:rPr>
          <w:rFonts w:cs="Calibri"/>
        </w:rPr>
      </w:pPr>
      <w:r>
        <w:rPr>
          <w:rFonts w:cs="Calibri"/>
        </w:rPr>
        <w:fldChar w:fldCharType="end"/>
      </w:r>
    </w:p>
    <w:sectPr w:rsidR="00CC422E" w:rsidRPr="00E74967"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C34" w:rsidRDefault="005A7C34" w:rsidP="00E00323">
      <w:pPr>
        <w:spacing w:after="0" w:line="240" w:lineRule="auto"/>
      </w:pPr>
      <w:r>
        <w:separator/>
      </w:r>
    </w:p>
  </w:endnote>
  <w:endnote w:type="continuationSeparator" w:id="0">
    <w:p w:rsidR="005A7C34" w:rsidRDefault="005A7C3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C34" w:rsidRDefault="005A7C34" w:rsidP="00E00323">
      <w:pPr>
        <w:spacing w:after="0" w:line="240" w:lineRule="auto"/>
      </w:pPr>
      <w:r>
        <w:separator/>
      </w:r>
    </w:p>
  </w:footnote>
  <w:footnote w:type="continuationSeparator" w:id="0">
    <w:p w:rsidR="005A7C34" w:rsidRDefault="005A7C3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22E" w:rsidRDefault="00CC422E" w:rsidP="00CC422E">
    <w:pPr>
      <w:pStyle w:val="Encabezado"/>
      <w:jc w:val="center"/>
    </w:pPr>
    <w:r>
      <w:t>PATRONATO DE BOMBEROS DE LEON GTO.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205D5"/>
    <w:rsid w:val="0004583F"/>
    <w:rsid w:val="00070EF4"/>
    <w:rsid w:val="000B7810"/>
    <w:rsid w:val="000D35D3"/>
    <w:rsid w:val="00154BA3"/>
    <w:rsid w:val="001973A2"/>
    <w:rsid w:val="001C75F2"/>
    <w:rsid w:val="001D2063"/>
    <w:rsid w:val="004007FF"/>
    <w:rsid w:val="00523DD6"/>
    <w:rsid w:val="005A7C34"/>
    <w:rsid w:val="005D3E43"/>
    <w:rsid w:val="005E231E"/>
    <w:rsid w:val="00645DBD"/>
    <w:rsid w:val="00657009"/>
    <w:rsid w:val="00681C79"/>
    <w:rsid w:val="006D7827"/>
    <w:rsid w:val="00757155"/>
    <w:rsid w:val="007714AB"/>
    <w:rsid w:val="00775673"/>
    <w:rsid w:val="007D1E76"/>
    <w:rsid w:val="00874033"/>
    <w:rsid w:val="008E076C"/>
    <w:rsid w:val="00942AB7"/>
    <w:rsid w:val="00BB4DF3"/>
    <w:rsid w:val="00C40B14"/>
    <w:rsid w:val="00C93987"/>
    <w:rsid w:val="00CC422E"/>
    <w:rsid w:val="00E00323"/>
    <w:rsid w:val="00E74967"/>
    <w:rsid w:val="00EA7915"/>
    <w:rsid w:val="00F56A27"/>
    <w:rsid w:val="00F743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05D4B6"/>
  <w15:docId w15:val="{BB5DFD10-305D-4DA8-9EBA-6E407C09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 w:id="1510750979">
      <w:bodyDiv w:val="1"/>
      <w:marLeft w:val="0"/>
      <w:marRight w:val="0"/>
      <w:marTop w:val="0"/>
      <w:marBottom w:val="0"/>
      <w:divBdr>
        <w:top w:val="none" w:sz="0" w:space="0" w:color="auto"/>
        <w:left w:val="none" w:sz="0" w:space="0" w:color="auto"/>
        <w:bottom w:val="none" w:sz="0" w:space="0" w:color="auto"/>
        <w:right w:val="none" w:sz="0" w:space="0" w:color="auto"/>
      </w:divBdr>
    </w:div>
    <w:div w:id="1778065957">
      <w:bodyDiv w:val="1"/>
      <w:marLeft w:val="0"/>
      <w:marRight w:val="0"/>
      <w:marTop w:val="0"/>
      <w:marBottom w:val="0"/>
      <w:divBdr>
        <w:top w:val="none" w:sz="0" w:space="0" w:color="auto"/>
        <w:left w:val="none" w:sz="0" w:space="0" w:color="auto"/>
        <w:bottom w:val="none" w:sz="0" w:space="0" w:color="auto"/>
        <w:right w:val="none" w:sz="0" w:space="0" w:color="auto"/>
      </w:divBdr>
    </w:div>
    <w:div w:id="1965425907">
      <w:bodyDiv w:val="1"/>
      <w:marLeft w:val="0"/>
      <w:marRight w:val="0"/>
      <w:marTop w:val="0"/>
      <w:marBottom w:val="0"/>
      <w:divBdr>
        <w:top w:val="none" w:sz="0" w:space="0" w:color="auto"/>
        <w:left w:val="none" w:sz="0" w:space="0" w:color="auto"/>
        <w:bottom w:val="none" w:sz="0" w:space="0" w:color="auto"/>
        <w:right w:val="none" w:sz="0" w:space="0" w:color="auto"/>
      </w:divBdr>
    </w:div>
    <w:div w:id="20307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1449</Words>
  <Characters>7973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9404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AuxContabilidad</cp:lastModifiedBy>
  <cp:revision>5</cp:revision>
  <dcterms:created xsi:type="dcterms:W3CDTF">2018-01-17T22:09:00Z</dcterms:created>
  <dcterms:modified xsi:type="dcterms:W3CDTF">2018-04-11T17:21:00Z</dcterms:modified>
</cp:coreProperties>
</file>